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05" w:rightChars="50"/>
        <w:rPr>
          <w:rFonts w:hint="default" w:ascii="Times New Roman" w:hAnsi="Times New Roman" w:eastAsia="黑体" w:cs="Times New Roman"/>
          <w:sz w:val="24"/>
          <w:szCs w:val="24"/>
          <w:lang w:val="en-US" w:eastAsia="zh-CN"/>
        </w:rPr>
      </w:pPr>
      <w:r>
        <w:rPr>
          <w:rFonts w:ascii="Times New Roman" w:hAnsi="Times New Roman" w:eastAsia="黑体" w:cs="Times New Roman"/>
          <w:sz w:val="24"/>
          <w:szCs w:val="24"/>
        </w:rPr>
        <w:t>证券代码：300873        证券简称：海晨股份         公告编号：202</w:t>
      </w:r>
      <w:r>
        <w:rPr>
          <w:rFonts w:hint="eastAsia" w:ascii="Times New Roman" w:hAnsi="Times New Roman" w:eastAsia="黑体" w:cs="Times New Roman"/>
          <w:sz w:val="24"/>
          <w:szCs w:val="24"/>
          <w:lang w:val="en-US" w:eastAsia="zh-CN"/>
        </w:rPr>
        <w:t>3</w:t>
      </w:r>
      <w:r>
        <w:rPr>
          <w:rFonts w:ascii="Times New Roman" w:hAnsi="Times New Roman" w:eastAsia="黑体" w:cs="Times New Roman"/>
          <w:sz w:val="24"/>
          <w:szCs w:val="24"/>
        </w:rPr>
        <w:t>-</w:t>
      </w:r>
      <w:r>
        <w:rPr>
          <w:rFonts w:hint="eastAsia" w:ascii="Times New Roman" w:hAnsi="Times New Roman" w:eastAsia="黑体" w:cs="Times New Roman"/>
          <w:sz w:val="24"/>
          <w:szCs w:val="24"/>
          <w:lang w:val="en-US" w:eastAsia="zh-CN"/>
        </w:rPr>
        <w:t>015</w:t>
      </w:r>
    </w:p>
    <w:p>
      <w:pPr>
        <w:spacing w:before="156" w:beforeLines="50"/>
        <w:ind w:left="105" w:leftChars="50" w:right="105" w:rightChars="50"/>
        <w:jc w:val="center"/>
        <w:rPr>
          <w:rFonts w:ascii="黑体" w:hAnsi="黑体" w:eastAsia="黑体" w:cs="Times New Roman"/>
          <w:b/>
          <w:bCs/>
          <w:sz w:val="28"/>
          <w:szCs w:val="28"/>
        </w:rPr>
      </w:pPr>
      <w:r>
        <w:rPr>
          <w:rFonts w:ascii="黑体" w:hAnsi="黑体" w:eastAsia="黑体" w:cs="Times New Roman"/>
          <w:b/>
          <w:bCs/>
          <w:sz w:val="28"/>
          <w:szCs w:val="28"/>
        </w:rPr>
        <w:t>江苏海晨物流股份有限公司</w:t>
      </w:r>
    </w:p>
    <w:p>
      <w:pPr>
        <w:spacing w:after="156" w:afterLines="50"/>
        <w:ind w:left="105" w:leftChars="50" w:right="105" w:rightChars="50"/>
        <w:jc w:val="center"/>
        <w:rPr>
          <w:rFonts w:ascii="Times New Roman" w:hAnsi="Times New Roman" w:eastAsia="黑体" w:cs="Times New Roman"/>
          <w:b/>
          <w:bCs/>
          <w:sz w:val="28"/>
          <w:szCs w:val="28"/>
        </w:rPr>
      </w:pPr>
      <w:r>
        <w:rPr>
          <w:rFonts w:ascii="Times New Roman" w:hAnsi="Times New Roman" w:eastAsia="黑体" w:cs="Times New Roman"/>
          <w:b/>
          <w:bCs/>
          <w:sz w:val="28"/>
          <w:szCs w:val="28"/>
        </w:rPr>
        <w:t>关于202</w:t>
      </w:r>
      <w:r>
        <w:rPr>
          <w:rFonts w:hint="eastAsia" w:ascii="Times New Roman" w:hAnsi="Times New Roman" w:eastAsia="黑体" w:cs="Times New Roman"/>
          <w:b/>
          <w:bCs/>
          <w:sz w:val="28"/>
          <w:szCs w:val="28"/>
          <w:lang w:val="en-US" w:eastAsia="zh-CN"/>
        </w:rPr>
        <w:t>2</w:t>
      </w:r>
      <w:r>
        <w:rPr>
          <w:rFonts w:ascii="Times New Roman" w:hAnsi="Times New Roman" w:eastAsia="黑体" w:cs="Times New Roman"/>
          <w:b/>
          <w:bCs/>
          <w:sz w:val="28"/>
          <w:szCs w:val="28"/>
        </w:rPr>
        <w:t>年度利润分配预案的公告</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276" w:lineRule="auto"/>
              <w:ind w:right="105" w:rightChars="50" w:firstLine="480" w:firstLineChars="200"/>
              <w:rPr>
                <w:rFonts w:ascii="Times New Roman" w:hAnsi="Times New Roman" w:eastAsia="宋体" w:cs="Times New Roman"/>
                <w:sz w:val="24"/>
                <w:szCs w:val="24"/>
              </w:rPr>
            </w:pPr>
            <w:r>
              <w:rPr>
                <w:rFonts w:ascii="宋体" w:hAnsi="宋体"/>
                <w:color w:val="000000"/>
                <w:sz w:val="24"/>
              </w:rPr>
              <w:t>本公司及董事会全体成员保证信息披露的内容真实、准确、完整，没有虚假记载、误导性陈述或重大遗漏。</w:t>
            </w:r>
          </w:p>
        </w:tc>
      </w:tr>
    </w:tbl>
    <w:p>
      <w:pPr>
        <w:spacing w:line="360" w:lineRule="auto"/>
        <w:ind w:left="105" w:leftChars="50" w:right="105" w:rightChars="50"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江苏海晨物流股份有限公司（以下简称 </w:t>
      </w:r>
      <w:r>
        <w:rPr>
          <w:rFonts w:hint="eastAsia" w:ascii="Times New Roman" w:hAnsi="Times New Roman" w:eastAsia="宋体" w:cs="Times New Roman"/>
          <w:sz w:val="24"/>
          <w:szCs w:val="24"/>
        </w:rPr>
        <w:t>“公司”</w:t>
      </w:r>
      <w:r>
        <w:rPr>
          <w:rFonts w:ascii="Times New Roman" w:hAnsi="Times New Roman" w:eastAsia="宋体" w:cs="Times New Roman"/>
          <w:sz w:val="24"/>
          <w:szCs w:val="24"/>
        </w:rPr>
        <w:t>）于 202</w:t>
      </w:r>
      <w:r>
        <w:rPr>
          <w:rFonts w:hint="eastAsia" w:ascii="Times New Roman" w:hAnsi="Times New Roman" w:eastAsia="宋体" w:cs="Times New Roman"/>
          <w:sz w:val="24"/>
          <w:szCs w:val="24"/>
          <w:lang w:val="en-US" w:eastAsia="zh-CN"/>
        </w:rPr>
        <w:t>3</w:t>
      </w:r>
      <w:r>
        <w:rPr>
          <w:rFonts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4</w:t>
      </w:r>
      <w:r>
        <w:rPr>
          <w:rFonts w:ascii="Times New Roman" w:hAnsi="Times New Roman" w:eastAsia="宋体" w:cs="Times New Roman"/>
          <w:sz w:val="24"/>
          <w:szCs w:val="24"/>
        </w:rPr>
        <w:t>月2</w:t>
      </w:r>
      <w:r>
        <w:rPr>
          <w:rFonts w:hint="eastAsia" w:ascii="Times New Roman" w:hAnsi="Times New Roman" w:eastAsia="宋体" w:cs="Times New Roman"/>
          <w:sz w:val="24"/>
          <w:szCs w:val="24"/>
          <w:lang w:val="en-US" w:eastAsia="zh-CN"/>
        </w:rPr>
        <w:t>1</w:t>
      </w:r>
      <w:r>
        <w:rPr>
          <w:rFonts w:ascii="Times New Roman" w:hAnsi="Times New Roman" w:eastAsia="宋体" w:cs="Times New Roman"/>
          <w:sz w:val="24"/>
          <w:szCs w:val="24"/>
        </w:rPr>
        <w:t>日召开</w:t>
      </w:r>
      <w:r>
        <w:rPr>
          <w:rFonts w:hint="eastAsia" w:ascii="Times New Roman" w:hAnsi="Times New Roman" w:eastAsia="宋体" w:cs="Times New Roman"/>
          <w:sz w:val="24"/>
          <w:szCs w:val="24"/>
          <w:lang w:eastAsia="zh-CN"/>
        </w:rPr>
        <w:t>第三届董事会第九次</w:t>
      </w:r>
      <w:r>
        <w:rPr>
          <w:rFonts w:ascii="Times New Roman" w:hAnsi="Times New Roman" w:eastAsia="宋体" w:cs="Times New Roman"/>
          <w:sz w:val="24"/>
          <w:szCs w:val="24"/>
        </w:rPr>
        <w:t>会议</w:t>
      </w:r>
      <w:r>
        <w:rPr>
          <w:rFonts w:hint="eastAsia" w:ascii="Times New Roman" w:hAnsi="Times New Roman" w:eastAsia="宋体" w:cs="Times New Roman"/>
          <w:sz w:val="24"/>
          <w:szCs w:val="24"/>
          <w:lang w:val="en-US" w:eastAsia="zh-CN"/>
        </w:rPr>
        <w:t>和第三届监事会第九次会议</w:t>
      </w:r>
      <w:r>
        <w:rPr>
          <w:rFonts w:ascii="Times New Roman" w:hAnsi="Times New Roman" w:eastAsia="宋体" w:cs="Times New Roman"/>
          <w:sz w:val="24"/>
          <w:szCs w:val="24"/>
        </w:rPr>
        <w:t>，审议通过了</w:t>
      </w:r>
      <w:r>
        <w:rPr>
          <w:rFonts w:hint="eastAsia" w:ascii="Times New Roman" w:hAnsi="Times New Roman" w:eastAsia="宋体" w:cs="Times New Roman"/>
          <w:sz w:val="24"/>
          <w:szCs w:val="24"/>
        </w:rPr>
        <w:t>《</w:t>
      </w:r>
      <w:r>
        <w:rPr>
          <w:rFonts w:ascii="Times New Roman" w:hAnsi="Times New Roman" w:eastAsia="宋体" w:cs="Times New Roman"/>
          <w:sz w:val="24"/>
          <w:szCs w:val="24"/>
        </w:rPr>
        <w:t>202</w:t>
      </w:r>
      <w:r>
        <w:rPr>
          <w:rFonts w:hint="eastAsia" w:ascii="Times New Roman" w:hAnsi="Times New Roman" w:eastAsia="宋体" w:cs="Times New Roman"/>
          <w:sz w:val="24"/>
          <w:szCs w:val="24"/>
          <w:lang w:val="en-US" w:eastAsia="zh-CN"/>
        </w:rPr>
        <w:t>2</w:t>
      </w:r>
      <w:r>
        <w:rPr>
          <w:rFonts w:ascii="Times New Roman" w:hAnsi="Times New Roman" w:eastAsia="宋体" w:cs="Times New Roman"/>
          <w:sz w:val="24"/>
          <w:szCs w:val="24"/>
        </w:rPr>
        <w:t>年度利润分配</w:t>
      </w:r>
      <w:r>
        <w:rPr>
          <w:rFonts w:hint="eastAsia" w:ascii="Times New Roman" w:hAnsi="Times New Roman" w:eastAsia="宋体" w:cs="Times New Roman"/>
          <w:sz w:val="24"/>
          <w:szCs w:val="24"/>
        </w:rPr>
        <w:t>预案</w:t>
      </w:r>
      <w:r>
        <w:rPr>
          <w:rFonts w:ascii="Times New Roman" w:hAnsi="Times New Roman" w:eastAsia="宋体" w:cs="Times New Roman"/>
          <w:sz w:val="24"/>
          <w:szCs w:val="24"/>
        </w:rPr>
        <w:t>》</w:t>
      </w:r>
      <w:r>
        <w:rPr>
          <w:rFonts w:hint="eastAsia" w:ascii="Times New Roman" w:hAnsi="Times New Roman" w:eastAsia="宋体" w:cs="Times New Roman"/>
          <w:sz w:val="24"/>
          <w:szCs w:val="24"/>
        </w:rPr>
        <w:t>，</w:t>
      </w:r>
      <w:r>
        <w:rPr>
          <w:rFonts w:ascii="Times New Roman" w:hAnsi="Times New Roman" w:eastAsia="宋体" w:cs="Times New Roman"/>
          <w:sz w:val="24"/>
          <w:szCs w:val="24"/>
        </w:rPr>
        <w:t>现将</w:t>
      </w:r>
      <w:r>
        <w:rPr>
          <w:rFonts w:hint="eastAsia" w:ascii="Times New Roman" w:hAnsi="Times New Roman" w:eastAsia="宋体" w:cs="Times New Roman"/>
          <w:sz w:val="24"/>
          <w:szCs w:val="24"/>
        </w:rPr>
        <w:t>预案</w:t>
      </w:r>
      <w:r>
        <w:rPr>
          <w:rFonts w:ascii="Times New Roman" w:hAnsi="Times New Roman" w:eastAsia="宋体" w:cs="Times New Roman"/>
          <w:sz w:val="24"/>
          <w:szCs w:val="24"/>
        </w:rPr>
        <w:t>具体情况公告如下：</w:t>
      </w:r>
      <w:bookmarkStart w:id="0" w:name="_GoBack"/>
      <w:bookmarkEnd w:id="0"/>
    </w:p>
    <w:p>
      <w:pPr>
        <w:spacing w:before="156" w:beforeLines="50" w:after="156" w:afterLines="50" w:line="360" w:lineRule="auto"/>
        <w:ind w:left="105" w:leftChars="50" w:right="105" w:rightChars="50" w:firstLine="482" w:firstLineChars="200"/>
        <w:outlineLvl w:val="0"/>
        <w:rPr>
          <w:rFonts w:ascii="黑体" w:hAnsi="黑体" w:eastAsia="黑体" w:cs="Times New Roman"/>
          <w:b/>
          <w:bCs/>
          <w:sz w:val="24"/>
          <w:szCs w:val="24"/>
        </w:rPr>
      </w:pPr>
      <w:r>
        <w:rPr>
          <w:rFonts w:ascii="黑体" w:hAnsi="黑体" w:eastAsia="黑体" w:cs="Times New Roman"/>
          <w:b/>
          <w:bCs/>
          <w:sz w:val="24"/>
          <w:szCs w:val="24"/>
        </w:rPr>
        <w:t>一、利润分配预案基本情况</w:t>
      </w:r>
    </w:p>
    <w:p>
      <w:pPr>
        <w:adjustRightInd w:val="0"/>
        <w:snapToGrid w:val="0"/>
        <w:spacing w:before="156" w:beforeLines="50" w:after="156" w:afterLines="50" w:line="360" w:lineRule="auto"/>
        <w:ind w:left="105" w:leftChars="50" w:right="105" w:rightChars="50" w:firstLine="482" w:firstLineChars="200"/>
        <w:rPr>
          <w:rFonts w:ascii="黑体" w:hAnsi="黑体" w:eastAsia="黑体" w:cs="Times New Roman"/>
          <w:b/>
          <w:sz w:val="24"/>
          <w:szCs w:val="24"/>
        </w:rPr>
      </w:pPr>
      <w:r>
        <w:rPr>
          <w:rFonts w:ascii="黑体" w:hAnsi="黑体" w:eastAsia="黑体" w:cs="Times New Roman"/>
          <w:b/>
          <w:sz w:val="24"/>
          <w:szCs w:val="24"/>
        </w:rPr>
        <w:t>（</w:t>
      </w:r>
      <w:r>
        <w:rPr>
          <w:rFonts w:hint="eastAsia" w:ascii="黑体" w:hAnsi="黑体" w:eastAsia="黑体" w:cs="Times New Roman"/>
          <w:b/>
          <w:sz w:val="24"/>
          <w:szCs w:val="24"/>
        </w:rPr>
        <w:t>一）具体情况</w:t>
      </w:r>
    </w:p>
    <w:p>
      <w:pPr>
        <w:widowControl/>
        <w:shd w:val="clear" w:color="auto" w:fill="FFFFFF"/>
        <w:adjustRightInd w:val="0"/>
        <w:snapToGrid w:val="0"/>
        <w:spacing w:before="120" w:after="156" w:afterLines="50" w:line="360" w:lineRule="auto"/>
        <w:ind w:firstLine="480" w:firstLineChars="200"/>
        <w:jc w:val="both"/>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经众华会计师事务所（特殊普通合伙）审计，母公司2022年实现净利润90,708,131.15元，提取法定盈余公积金9,070,813.12元，当年实现可分配利润81,853,829.05元，截至2022 年12 月31 日，母公司累计未分配利润222,510,119.86元，资本公积1,309,584,272.08元。合并财务报表20</w:t>
      </w:r>
      <w:r>
        <w:rPr>
          <w:rFonts w:hint="eastAsia" w:ascii="Times New Roman" w:hAnsi="Times New Roman" w:eastAsia="宋体" w:cs="Times New Roman"/>
          <w:sz w:val="24"/>
          <w:szCs w:val="24"/>
          <w:lang w:val="en-US" w:eastAsia="zh-CN"/>
        </w:rPr>
        <w:t>22</w:t>
      </w:r>
      <w:r>
        <w:rPr>
          <w:rFonts w:hint="eastAsia" w:ascii="Times New Roman" w:hAnsi="Times New Roman" w:eastAsia="宋体" w:cs="Times New Roman"/>
          <w:sz w:val="24"/>
          <w:szCs w:val="24"/>
        </w:rPr>
        <w:t>年实现归属于母公司所有者的净利润358,191,889.13元，提取法定盈余公积金9,070,813.12元，当年实现可分配利润349,121,076.01元，截至2022 年12 月31 日，公司合并报表累计未分配利润1,096,929,591.99元，资本公积1,310,920,081.05元。</w:t>
      </w:r>
    </w:p>
    <w:p>
      <w:pPr>
        <w:widowControl/>
        <w:shd w:val="clear" w:color="auto" w:fill="FFFFFF"/>
        <w:adjustRightInd w:val="0"/>
        <w:snapToGrid w:val="0"/>
        <w:spacing w:before="120" w:after="156" w:afterLines="50" w:line="360" w:lineRule="auto"/>
        <w:ind w:firstLine="480" w:firstLineChars="200"/>
        <w:jc w:val="left"/>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根据有关法律法规及《公司章程》的规定，综合考虑股东利益及公司长远发展，本年度拟以截止2022年12月31日的总股本228,659,779（已剔除回购股份1,942,000股）为基数，向全体股东每10股派发现金股利人民币3.5元（含税）。</w:t>
      </w:r>
    </w:p>
    <w:p>
      <w:pPr>
        <w:widowControl/>
        <w:shd w:val="clear" w:color="auto" w:fill="FFFFFF"/>
        <w:adjustRightInd w:val="0"/>
        <w:snapToGrid w:val="0"/>
        <w:spacing w:before="120" w:after="156" w:afterLines="50"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若在分配方案实施前公司总股本由于可转债转股、股份回购、股权激励行权、再融资新增股份上市等原因而发生变化的，公司将按照分配总额不变的原则对分配比例进行调整。</w:t>
      </w:r>
    </w:p>
    <w:p>
      <w:pPr>
        <w:widowControl/>
        <w:shd w:val="clear" w:color="auto" w:fill="FFFFFF"/>
        <w:adjustRightInd w:val="0"/>
        <w:snapToGrid w:val="0"/>
        <w:spacing w:before="120" w:after="156" w:afterLines="50" w:line="360" w:lineRule="auto"/>
        <w:ind w:firstLine="480" w:firstLineChars="200"/>
        <w:jc w:val="left"/>
        <w:rPr>
          <w:rFonts w:ascii="黑体" w:hAnsi="黑体" w:eastAsia="黑体" w:cs="Times New Roman"/>
          <w:b/>
          <w:sz w:val="24"/>
          <w:szCs w:val="24"/>
        </w:rPr>
      </w:pPr>
      <w:r>
        <w:rPr>
          <w:rFonts w:ascii="Times New Roman" w:hAnsi="Times New Roman" w:eastAsia="宋体" w:cs="Times New Roman"/>
          <w:sz w:val="24"/>
          <w:szCs w:val="24"/>
        </w:rPr>
        <w:t xml:space="preserve"> </w:t>
      </w:r>
      <w:r>
        <w:rPr>
          <w:rFonts w:hint="eastAsia" w:ascii="黑体" w:hAnsi="黑体" w:eastAsia="黑体" w:cs="Times New Roman"/>
          <w:b/>
          <w:sz w:val="24"/>
          <w:szCs w:val="24"/>
        </w:rPr>
        <w:t>（二）利润分配方案的合规性、合理性</w:t>
      </w:r>
    </w:p>
    <w:p>
      <w:pPr>
        <w:widowControl/>
        <w:shd w:val="clear" w:color="auto" w:fill="FFFFFF"/>
        <w:adjustRightInd w:val="0"/>
        <w:snapToGrid w:val="0"/>
        <w:spacing w:before="120" w:after="156" w:afterLines="50" w:line="360"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本次公司利润分配方案符合《公司法》、《关于进一步落实上市公司现金分红有关事项的通知》、《上市公司监管指引第3号——上市公司现金分红》等法律法规和《公司章程》的规定，现金分红方案保证公司正常经营和长远发展的前提下充分考虑了广大投资者的合理利益，符合公司利润分配政策，有利于全体股东共享公司成长的经营成果，实施上述利润分配方案不会造成公司流动资金短缺或其他不良影响，符合公司战略规划和发展预期。</w:t>
      </w:r>
    </w:p>
    <w:p>
      <w:pPr>
        <w:adjustRightInd w:val="0"/>
        <w:snapToGrid w:val="0"/>
        <w:spacing w:before="156" w:beforeLines="50" w:after="156" w:afterLines="50" w:line="360" w:lineRule="auto"/>
        <w:ind w:left="105" w:leftChars="50" w:right="105" w:rightChars="50" w:firstLine="482" w:firstLineChars="200"/>
        <w:rPr>
          <w:rFonts w:ascii="黑体" w:hAnsi="黑体" w:eastAsia="黑体" w:cs="Times New Roman"/>
          <w:b/>
          <w:sz w:val="24"/>
          <w:szCs w:val="24"/>
        </w:rPr>
      </w:pPr>
      <w:r>
        <w:rPr>
          <w:rFonts w:hint="eastAsia" w:ascii="黑体" w:hAnsi="黑体" w:eastAsia="黑体" w:cs="Times New Roman"/>
          <w:b/>
          <w:sz w:val="24"/>
          <w:szCs w:val="24"/>
        </w:rPr>
        <w:t>（三）利润分配方案与公司成长性的匹配性</w:t>
      </w:r>
    </w:p>
    <w:p>
      <w:pPr>
        <w:widowControl/>
        <w:shd w:val="clear" w:color="auto" w:fill="FFFFFF"/>
        <w:adjustRightInd w:val="0"/>
        <w:snapToGrid w:val="0"/>
        <w:spacing w:before="120" w:after="156" w:afterLines="50" w:line="360"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鉴于公司实际经营和盈利情况，以及对公司未来发展的良好预期，在符合公司利润分配政策、保障公司正常运营和长远发展的前提下，本次利润分配方案充分考虑了广大投资者的利益和合理诉求，与公司经营业绩及未来发展相匹配，符合公司经营规模扩大、主业持续成长的实际情况。该方案实施不会造成公司流动资金短缺或其他不良影响，有利于广大投资者参与和分享公司发展的经营成果，兼顾了股东的即期利益和长远利益。</w:t>
      </w:r>
    </w:p>
    <w:p>
      <w:pPr>
        <w:spacing w:before="156" w:beforeLines="50" w:after="156" w:afterLines="50" w:line="360" w:lineRule="auto"/>
        <w:ind w:left="105" w:leftChars="50" w:right="105" w:rightChars="50" w:firstLine="482" w:firstLineChars="200"/>
        <w:outlineLvl w:val="0"/>
        <w:rPr>
          <w:rFonts w:ascii="黑体" w:hAnsi="黑体" w:eastAsia="黑体" w:cs="Times New Roman"/>
          <w:b/>
          <w:bCs/>
          <w:sz w:val="24"/>
          <w:szCs w:val="24"/>
        </w:rPr>
      </w:pPr>
      <w:r>
        <w:rPr>
          <w:rFonts w:ascii="黑体" w:hAnsi="黑体" w:eastAsia="黑体" w:cs="Times New Roman"/>
          <w:b/>
          <w:bCs/>
          <w:sz w:val="24"/>
          <w:szCs w:val="24"/>
        </w:rPr>
        <w:t>二、独立董事意见</w:t>
      </w:r>
    </w:p>
    <w:p>
      <w:pPr>
        <w:spacing w:line="360" w:lineRule="auto"/>
        <w:ind w:left="105" w:leftChars="50" w:right="105" w:rightChars="50"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独立董事认为：公司202</w:t>
      </w:r>
      <w:r>
        <w:rPr>
          <w:rFonts w:hint="eastAsia" w:ascii="Times New Roman" w:hAnsi="Times New Roman" w:eastAsia="宋体" w:cs="Times New Roman"/>
          <w:sz w:val="24"/>
          <w:szCs w:val="24"/>
          <w:lang w:val="en-US" w:eastAsia="zh-CN"/>
        </w:rPr>
        <w:t>2</w:t>
      </w:r>
      <w:r>
        <w:rPr>
          <w:rFonts w:ascii="Times New Roman" w:hAnsi="Times New Roman" w:eastAsia="宋体" w:cs="Times New Roman"/>
          <w:sz w:val="24"/>
          <w:szCs w:val="24"/>
        </w:rPr>
        <w:t>年度利润分配预案与公司业绩成长性相匹配，符合公司实际开展业务和未来发展的需要，具备合法性、合规性、合理性。同意公司</w:t>
      </w:r>
      <w:r>
        <w:rPr>
          <w:rFonts w:hint="eastAsia" w:ascii="Times New Roman" w:hAnsi="Times New Roman" w:eastAsia="宋体" w:cs="Times New Roman"/>
          <w:sz w:val="24"/>
          <w:szCs w:val="24"/>
          <w:lang w:eastAsia="zh-CN"/>
        </w:rPr>
        <w:t>第三届董事会第九次</w:t>
      </w:r>
      <w:r>
        <w:rPr>
          <w:rFonts w:ascii="Times New Roman" w:hAnsi="Times New Roman" w:eastAsia="宋体" w:cs="Times New Roman"/>
          <w:sz w:val="24"/>
          <w:szCs w:val="24"/>
        </w:rPr>
        <w:t>会议审议通过</w:t>
      </w:r>
      <w:r>
        <w:rPr>
          <w:rFonts w:hint="eastAsia" w:ascii="Times New Roman" w:hAnsi="Times New Roman" w:eastAsia="宋体" w:cs="Times New Roman"/>
          <w:sz w:val="24"/>
          <w:szCs w:val="24"/>
        </w:rPr>
        <w:t>《</w:t>
      </w:r>
      <w:r>
        <w:rPr>
          <w:rFonts w:ascii="Times New Roman" w:hAnsi="Times New Roman" w:eastAsia="宋体" w:cs="Times New Roman"/>
          <w:sz w:val="24"/>
          <w:szCs w:val="24"/>
        </w:rPr>
        <w:t>202</w:t>
      </w:r>
      <w:r>
        <w:rPr>
          <w:rFonts w:hint="eastAsia" w:ascii="Times New Roman" w:hAnsi="Times New Roman" w:eastAsia="宋体" w:cs="Times New Roman"/>
          <w:sz w:val="24"/>
          <w:szCs w:val="24"/>
          <w:lang w:val="en-US" w:eastAsia="zh-CN"/>
        </w:rPr>
        <w:t>2</w:t>
      </w:r>
      <w:r>
        <w:rPr>
          <w:rFonts w:ascii="Times New Roman" w:hAnsi="Times New Roman" w:eastAsia="宋体" w:cs="Times New Roman"/>
          <w:sz w:val="24"/>
          <w:szCs w:val="24"/>
        </w:rPr>
        <w:t>年度利润分配</w:t>
      </w:r>
      <w:r>
        <w:rPr>
          <w:rFonts w:hint="eastAsia" w:ascii="Times New Roman" w:hAnsi="Times New Roman" w:eastAsia="宋体" w:cs="Times New Roman"/>
          <w:sz w:val="24"/>
          <w:szCs w:val="24"/>
        </w:rPr>
        <w:t>预案</w:t>
      </w:r>
      <w:r>
        <w:rPr>
          <w:rFonts w:ascii="Times New Roman" w:hAnsi="Times New Roman" w:eastAsia="宋体" w:cs="Times New Roman"/>
          <w:sz w:val="24"/>
          <w:szCs w:val="24"/>
        </w:rPr>
        <w:t>》，同意将该预案提请202</w:t>
      </w:r>
      <w:r>
        <w:rPr>
          <w:rFonts w:hint="eastAsia" w:ascii="Times New Roman" w:hAnsi="Times New Roman" w:eastAsia="宋体" w:cs="Times New Roman"/>
          <w:sz w:val="24"/>
          <w:szCs w:val="24"/>
          <w:lang w:val="en-US" w:eastAsia="zh-CN"/>
        </w:rPr>
        <w:t>2</w:t>
      </w:r>
      <w:r>
        <w:rPr>
          <w:rFonts w:ascii="Times New Roman" w:hAnsi="Times New Roman" w:eastAsia="宋体" w:cs="Times New Roman"/>
          <w:sz w:val="24"/>
          <w:szCs w:val="24"/>
        </w:rPr>
        <w:t>年年度股东大会审议。</w:t>
      </w:r>
    </w:p>
    <w:p>
      <w:pPr>
        <w:spacing w:before="156" w:beforeLines="50" w:after="156" w:afterLines="50" w:line="360" w:lineRule="auto"/>
        <w:ind w:left="105" w:leftChars="50" w:right="105" w:rightChars="50" w:firstLine="482" w:firstLineChars="200"/>
        <w:outlineLvl w:val="0"/>
        <w:rPr>
          <w:rFonts w:ascii="黑体" w:hAnsi="黑体" w:eastAsia="黑体" w:cs="Times New Roman"/>
          <w:b/>
          <w:bCs/>
          <w:sz w:val="24"/>
          <w:szCs w:val="24"/>
        </w:rPr>
      </w:pPr>
      <w:r>
        <w:rPr>
          <w:rFonts w:ascii="黑体" w:hAnsi="黑体" w:eastAsia="黑体" w:cs="Times New Roman"/>
          <w:b/>
          <w:bCs/>
          <w:sz w:val="24"/>
          <w:szCs w:val="24"/>
        </w:rPr>
        <w:t>三、监事会意见</w:t>
      </w:r>
    </w:p>
    <w:p>
      <w:pPr>
        <w:spacing w:line="360" w:lineRule="auto"/>
        <w:ind w:left="105" w:leftChars="50" w:right="105" w:rightChars="50"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监事会认为：鉴于公司业务持续稳定发展，经营规模不断扩大，在保证公司正常经营和长远发展的前提下，为了更好地兼顾股东的即期利益和长远利益，公司拟定的202</w:t>
      </w:r>
      <w:r>
        <w:rPr>
          <w:rFonts w:hint="eastAsia" w:ascii="Times New Roman" w:hAnsi="Times New Roman" w:eastAsia="宋体" w:cs="Times New Roman"/>
          <w:sz w:val="24"/>
          <w:szCs w:val="24"/>
          <w:lang w:val="en-US" w:eastAsia="zh-CN"/>
        </w:rPr>
        <w:t>2</w:t>
      </w:r>
      <w:r>
        <w:rPr>
          <w:rFonts w:ascii="Times New Roman" w:hAnsi="Times New Roman" w:eastAsia="宋体" w:cs="Times New Roman"/>
          <w:sz w:val="24"/>
          <w:szCs w:val="24"/>
        </w:rPr>
        <w:t>年度利润分配预案与公司业绩成长性相匹配，符合《公司法》和《公司章程》的规定，具备合法性、合规性、合理性。</w:t>
      </w:r>
    </w:p>
    <w:p>
      <w:pPr>
        <w:spacing w:before="156" w:beforeLines="50" w:after="156" w:afterLines="50" w:line="360" w:lineRule="auto"/>
        <w:ind w:left="105" w:leftChars="50" w:right="105" w:rightChars="50" w:firstLine="482" w:firstLineChars="200"/>
        <w:outlineLvl w:val="0"/>
        <w:rPr>
          <w:rFonts w:ascii="黑体" w:hAnsi="黑体" w:eastAsia="黑体" w:cs="Times New Roman"/>
          <w:b/>
          <w:bCs/>
          <w:sz w:val="24"/>
          <w:szCs w:val="24"/>
        </w:rPr>
      </w:pPr>
      <w:r>
        <w:rPr>
          <w:rFonts w:ascii="黑体" w:hAnsi="黑体" w:eastAsia="黑体" w:cs="Times New Roman"/>
          <w:b/>
          <w:bCs/>
          <w:sz w:val="24"/>
          <w:szCs w:val="24"/>
        </w:rPr>
        <w:t>四、风险提示</w:t>
      </w:r>
    </w:p>
    <w:p>
      <w:pPr>
        <w:spacing w:line="360" w:lineRule="auto"/>
        <w:ind w:left="105" w:leftChars="50" w:right="105" w:rightChars="50"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本次利润分配预案尚需提请公司202</w:t>
      </w:r>
      <w:r>
        <w:rPr>
          <w:rFonts w:hint="eastAsia" w:ascii="Times New Roman" w:hAnsi="Times New Roman" w:eastAsia="宋体" w:cs="Times New Roman"/>
          <w:sz w:val="24"/>
          <w:szCs w:val="24"/>
          <w:lang w:val="en-US" w:eastAsia="zh-CN"/>
        </w:rPr>
        <w:t>2</w:t>
      </w:r>
      <w:r>
        <w:rPr>
          <w:rFonts w:ascii="Times New Roman" w:hAnsi="Times New Roman" w:eastAsia="宋体" w:cs="Times New Roman"/>
          <w:sz w:val="24"/>
          <w:szCs w:val="24"/>
        </w:rPr>
        <w:t>年年度股东大会审议，敬请广大投资者注意投资风险。</w:t>
      </w:r>
    </w:p>
    <w:p>
      <w:pPr>
        <w:spacing w:before="156" w:beforeLines="50" w:after="156" w:afterLines="50" w:line="360" w:lineRule="auto"/>
        <w:ind w:left="105" w:leftChars="50" w:right="105" w:rightChars="50" w:firstLine="482" w:firstLineChars="200"/>
        <w:outlineLvl w:val="0"/>
        <w:rPr>
          <w:rFonts w:ascii="黑体" w:hAnsi="黑体" w:eastAsia="黑体" w:cs="Times New Roman"/>
          <w:b/>
          <w:bCs/>
          <w:sz w:val="24"/>
          <w:szCs w:val="24"/>
        </w:rPr>
      </w:pPr>
      <w:r>
        <w:rPr>
          <w:rFonts w:ascii="黑体" w:hAnsi="黑体" w:eastAsia="黑体" w:cs="Times New Roman"/>
          <w:b/>
          <w:bCs/>
          <w:sz w:val="24"/>
          <w:szCs w:val="24"/>
        </w:rPr>
        <w:t>五、备查文件</w:t>
      </w:r>
    </w:p>
    <w:p>
      <w:pPr>
        <w:spacing w:line="360" w:lineRule="auto"/>
        <w:ind w:left="105" w:leftChars="50" w:right="105" w:rightChars="50"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lang w:eastAsia="zh-CN"/>
        </w:rPr>
        <w:t>第三届董事会第九次</w:t>
      </w:r>
      <w:r>
        <w:rPr>
          <w:rFonts w:ascii="Times New Roman" w:hAnsi="Times New Roman" w:eastAsia="宋体" w:cs="Times New Roman"/>
          <w:sz w:val="24"/>
          <w:szCs w:val="24"/>
        </w:rPr>
        <w:t>会议决议；</w:t>
      </w:r>
    </w:p>
    <w:p>
      <w:pPr>
        <w:spacing w:line="360" w:lineRule="auto"/>
        <w:ind w:left="105" w:leftChars="50" w:right="105" w:rightChars="50"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lang w:eastAsia="zh-CN"/>
        </w:rPr>
        <w:t>第三届</w:t>
      </w:r>
      <w:r>
        <w:rPr>
          <w:rFonts w:hint="eastAsia" w:ascii="Times New Roman" w:hAnsi="Times New Roman" w:eastAsia="宋体" w:cs="Times New Roman"/>
          <w:sz w:val="24"/>
          <w:szCs w:val="24"/>
          <w:lang w:val="en-US" w:eastAsia="zh-CN"/>
        </w:rPr>
        <w:t>监事</w:t>
      </w:r>
      <w:r>
        <w:rPr>
          <w:rFonts w:hint="eastAsia" w:ascii="Times New Roman" w:hAnsi="Times New Roman" w:eastAsia="宋体" w:cs="Times New Roman"/>
          <w:sz w:val="24"/>
          <w:szCs w:val="24"/>
          <w:lang w:eastAsia="zh-CN"/>
        </w:rPr>
        <w:t>会第九次</w:t>
      </w:r>
      <w:r>
        <w:rPr>
          <w:rFonts w:ascii="Times New Roman" w:hAnsi="Times New Roman" w:eastAsia="宋体" w:cs="Times New Roman"/>
          <w:sz w:val="24"/>
          <w:szCs w:val="24"/>
        </w:rPr>
        <w:t>会议决议；</w:t>
      </w:r>
    </w:p>
    <w:p>
      <w:pPr>
        <w:spacing w:line="360" w:lineRule="auto"/>
        <w:ind w:left="105" w:leftChars="50" w:right="105" w:rightChars="50"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3、独立董事关于</w:t>
      </w:r>
      <w:r>
        <w:rPr>
          <w:rFonts w:hint="eastAsia" w:ascii="Times New Roman" w:hAnsi="Times New Roman" w:eastAsia="宋体" w:cs="Times New Roman"/>
          <w:sz w:val="24"/>
          <w:szCs w:val="24"/>
          <w:lang w:eastAsia="zh-CN"/>
        </w:rPr>
        <w:t>第三届董事会第九次</w:t>
      </w:r>
      <w:r>
        <w:rPr>
          <w:rFonts w:ascii="Times New Roman" w:hAnsi="Times New Roman" w:eastAsia="宋体" w:cs="Times New Roman"/>
          <w:sz w:val="24"/>
          <w:szCs w:val="24"/>
        </w:rPr>
        <w:t>会议相关事项的独立意见。</w:t>
      </w:r>
    </w:p>
    <w:p>
      <w:pPr>
        <w:spacing w:line="360" w:lineRule="auto"/>
        <w:ind w:left="105" w:leftChars="50" w:right="105" w:rightChars="50" w:firstLine="480" w:firstLineChars="200"/>
        <w:rPr>
          <w:rFonts w:ascii="Times New Roman" w:hAnsi="Times New Roman" w:eastAsia="宋体" w:cs="Times New Roman"/>
          <w:sz w:val="24"/>
          <w:szCs w:val="24"/>
        </w:rPr>
      </w:pPr>
    </w:p>
    <w:p>
      <w:pPr>
        <w:spacing w:line="360" w:lineRule="auto"/>
        <w:ind w:left="105" w:leftChars="50" w:right="105" w:rightChars="50"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特此公告。</w:t>
      </w:r>
    </w:p>
    <w:p>
      <w:pPr>
        <w:spacing w:line="360" w:lineRule="auto"/>
        <w:ind w:left="105" w:leftChars="50" w:right="105" w:rightChars="50" w:firstLine="480" w:firstLineChars="200"/>
        <w:rPr>
          <w:rFonts w:ascii="Times New Roman" w:hAnsi="Times New Roman" w:eastAsia="宋体" w:cs="Times New Roman"/>
          <w:sz w:val="24"/>
          <w:szCs w:val="24"/>
        </w:rPr>
      </w:pPr>
    </w:p>
    <w:p>
      <w:pPr>
        <w:pStyle w:val="11"/>
        <w:adjustRightInd/>
        <w:spacing w:line="360" w:lineRule="auto"/>
        <w:ind w:left="105" w:leftChars="50" w:right="105" w:rightChars="50" w:firstLine="480" w:firstLineChars="200"/>
        <w:jc w:val="right"/>
        <w:rPr>
          <w:rFonts w:ascii="Times New Roman" w:hAnsi="Times New Roman" w:cs="Times New Roman"/>
        </w:rPr>
      </w:pPr>
      <w:r>
        <w:rPr>
          <w:rFonts w:ascii="Times New Roman" w:hAnsi="Times New Roman" w:cs="Times New Roman"/>
        </w:rPr>
        <w:t>江苏海晨物流股份有限公司</w:t>
      </w:r>
    </w:p>
    <w:p>
      <w:pPr>
        <w:pStyle w:val="11"/>
        <w:adjustRightInd/>
        <w:spacing w:line="360" w:lineRule="auto"/>
        <w:ind w:left="105" w:leftChars="50" w:right="105" w:rightChars="50" w:firstLine="480" w:firstLineChars="200"/>
        <w:jc w:val="right"/>
        <w:rPr>
          <w:rFonts w:ascii="Times New Roman" w:hAnsi="Times New Roman" w:cs="Times New Roman"/>
        </w:rPr>
      </w:pPr>
      <w:r>
        <w:rPr>
          <w:rFonts w:ascii="Times New Roman" w:hAnsi="Times New Roman" w:cs="Times New Roman"/>
        </w:rPr>
        <w:t xml:space="preserve">董 事 会 </w:t>
      </w:r>
    </w:p>
    <w:p>
      <w:pPr>
        <w:spacing w:line="360" w:lineRule="auto"/>
        <w:ind w:left="105" w:leftChars="50" w:right="105" w:rightChars="50" w:firstLine="480" w:firstLineChars="200"/>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02</w:t>
      </w:r>
      <w:r>
        <w:rPr>
          <w:rFonts w:hint="eastAsia" w:ascii="Times New Roman" w:hAnsi="Times New Roman" w:eastAsia="宋体" w:cs="Times New Roman"/>
          <w:sz w:val="24"/>
          <w:szCs w:val="24"/>
          <w:lang w:val="en-US" w:eastAsia="zh-CN"/>
        </w:rPr>
        <w:t>3</w:t>
      </w:r>
      <w:r>
        <w:rPr>
          <w:rFonts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4</w:t>
      </w:r>
      <w:r>
        <w:rPr>
          <w:rFonts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22</w:t>
      </w:r>
      <w:r>
        <w:rPr>
          <w:rFonts w:ascii="Times New Roman" w:hAnsi="Times New Roman" w:eastAsia="宋体" w:cs="Times New Roman"/>
          <w:sz w:val="24"/>
          <w:szCs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4049370"/>
      <w:docPartObj>
        <w:docPartGallery w:val="autotext"/>
      </w:docPartObj>
    </w:sdtPr>
    <w:sdtEndPr>
      <w:rPr>
        <w:rFonts w:ascii="Times New Roman" w:hAnsi="Times New Roman" w:cs="Times New Roman"/>
        <w:sz w:val="21"/>
      </w:rPr>
    </w:sdtEndPr>
    <w:sdtContent>
      <w:p>
        <w:pPr>
          <w:pStyle w:val="3"/>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3</w:t>
        </w:r>
        <w:r>
          <w:rPr>
            <w:rFonts w:ascii="Times New Roman" w:hAnsi="Times New Roman" w:cs="Times New Roman"/>
            <w:sz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3ZGFhMzBkZTM5OTRjMmU4YmRkOTYxZmY5OWFkODMifQ=="/>
  </w:docVars>
  <w:rsids>
    <w:rsidRoot w:val="00D1626D"/>
    <w:rsid w:val="000F7522"/>
    <w:rsid w:val="001338A6"/>
    <w:rsid w:val="0013495D"/>
    <w:rsid w:val="001D5EE9"/>
    <w:rsid w:val="001E429A"/>
    <w:rsid w:val="00201B35"/>
    <w:rsid w:val="00255886"/>
    <w:rsid w:val="002578E7"/>
    <w:rsid w:val="002F6C95"/>
    <w:rsid w:val="00301805"/>
    <w:rsid w:val="00361C83"/>
    <w:rsid w:val="003E7F41"/>
    <w:rsid w:val="00415575"/>
    <w:rsid w:val="00427787"/>
    <w:rsid w:val="00472593"/>
    <w:rsid w:val="004C7FBD"/>
    <w:rsid w:val="00622BBD"/>
    <w:rsid w:val="00684AB6"/>
    <w:rsid w:val="0078268D"/>
    <w:rsid w:val="00953D58"/>
    <w:rsid w:val="0097355E"/>
    <w:rsid w:val="009F114A"/>
    <w:rsid w:val="00AE54EB"/>
    <w:rsid w:val="00B61624"/>
    <w:rsid w:val="00C24F78"/>
    <w:rsid w:val="00C6773F"/>
    <w:rsid w:val="00C90B46"/>
    <w:rsid w:val="00CD1E7A"/>
    <w:rsid w:val="00D1626D"/>
    <w:rsid w:val="00DA2627"/>
    <w:rsid w:val="00DD4FBD"/>
    <w:rsid w:val="00EC35D5"/>
    <w:rsid w:val="00F37E5A"/>
    <w:rsid w:val="00FC6993"/>
    <w:rsid w:val="00FF3A71"/>
    <w:rsid w:val="0814198D"/>
    <w:rsid w:val="0DF540CC"/>
    <w:rsid w:val="120C7C36"/>
    <w:rsid w:val="23031864"/>
    <w:rsid w:val="368E6A7C"/>
    <w:rsid w:val="3C7626F9"/>
    <w:rsid w:val="4C0053E4"/>
    <w:rsid w:val="4C235CCD"/>
    <w:rsid w:val="4F596991"/>
    <w:rsid w:val="611B3AED"/>
    <w:rsid w:val="61717430"/>
    <w:rsid w:val="63D47B81"/>
    <w:rsid w:val="66B16C0C"/>
    <w:rsid w:val="6A37184A"/>
    <w:rsid w:val="77155DD6"/>
    <w:rsid w:val="79461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link w:val="12"/>
    <w:qFormat/>
    <w:uiPriority w:val="9"/>
    <w:pPr>
      <w:widowControl/>
      <w:spacing w:before="100" w:beforeAutospacing="1" w:after="100" w:afterAutospacing="1"/>
      <w:jc w:val="left"/>
      <w:outlineLvl w:val="4"/>
    </w:pPr>
    <w:rPr>
      <w:rFonts w:ascii="宋体" w:hAnsi="宋体" w:eastAsia="宋体" w:cs="宋体"/>
      <w:b/>
      <w:bCs/>
      <w:kern w:val="0"/>
      <w:sz w:val="20"/>
      <w:szCs w:val="20"/>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qFormat/>
    <w:uiPriority w:val="99"/>
    <w:rPr>
      <w:sz w:val="18"/>
      <w:szCs w:val="18"/>
    </w:rPr>
  </w:style>
  <w:style w:type="character" w:customStyle="1" w:styleId="10">
    <w:name w:val="页脚 字符"/>
    <w:basedOn w:val="8"/>
    <w:link w:val="3"/>
    <w:qFormat/>
    <w:uiPriority w:val="99"/>
    <w:rPr>
      <w:sz w:val="18"/>
      <w:szCs w:val="18"/>
    </w:rPr>
  </w:style>
  <w:style w:type="paragraph" w:customStyle="1" w:styleId="11">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12">
    <w:name w:val="标题 5 字符"/>
    <w:basedOn w:val="8"/>
    <w:link w:val="2"/>
    <w:qFormat/>
    <w:uiPriority w:val="9"/>
    <w:rPr>
      <w:rFonts w:ascii="宋体" w:hAnsi="宋体" w:eastAsia="宋体" w:cs="宋体"/>
      <w:b/>
      <w:bCs/>
      <w:kern w:val="0"/>
      <w:sz w:val="20"/>
      <w:szCs w:val="20"/>
    </w:rPr>
  </w:style>
  <w:style w:type="paragraph" w:customStyle="1" w:styleId="13">
    <w:name w:val="IPO正文"/>
    <w:basedOn w:val="1"/>
    <w:link w:val="14"/>
    <w:qFormat/>
    <w:uiPriority w:val="0"/>
    <w:pPr>
      <w:spacing w:afterLines="50" w:line="360" w:lineRule="auto"/>
      <w:ind w:firstLine="480" w:firstLineChars="200"/>
    </w:pPr>
    <w:rPr>
      <w:rFonts w:ascii="Arial" w:hAnsi="Arial" w:eastAsia="宋体" w:cs="Arial"/>
      <w:color w:val="000000"/>
      <w:kern w:val="0"/>
      <w:sz w:val="20"/>
      <w:lang w:val="zh-CN" w:eastAsia="en-US" w:bidi="en-US"/>
    </w:rPr>
  </w:style>
  <w:style w:type="character" w:customStyle="1" w:styleId="14">
    <w:name w:val="IPO正文 Char"/>
    <w:link w:val="13"/>
    <w:qFormat/>
    <w:uiPriority w:val="0"/>
    <w:rPr>
      <w:rFonts w:ascii="Arial" w:hAnsi="Arial" w:eastAsia="宋体" w:cs="Arial"/>
      <w:color w:val="000000"/>
      <w:kern w:val="0"/>
      <w:sz w:val="20"/>
      <w:lang w:val="zh-CN"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D4EB-2480-4FB6-9155-2AB141776B32}">
  <ds:schemaRefs/>
</ds:datastoreItem>
</file>

<file path=docProps/app.xml><?xml version="1.0" encoding="utf-8"?>
<Properties xmlns="http://schemas.openxmlformats.org/officeDocument/2006/extended-properties" xmlns:vt="http://schemas.openxmlformats.org/officeDocument/2006/docPropsVTypes">
  <Template>Normal</Template>
  <Pages>3</Pages>
  <Words>1334</Words>
  <Characters>1547</Characters>
  <Lines>11</Lines>
  <Paragraphs>3</Paragraphs>
  <TotalTime>0</TotalTime>
  <ScaleCrop>false</ScaleCrop>
  <LinksUpToDate>false</LinksUpToDate>
  <CharactersWithSpaces>1576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2021-03-02T06:07:00Z</dcterms:created>
  <dc:creator>Liu Tao</dc:creator>
  <cp:lastModifiedBy>Leanne</cp:lastModifiedBy>
  <dcterms:modified xsi:type="dcterms:W3CDTF">2023-04-20T09:33:05Z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D8BED7E059B9474584755C51FF140E2E_12</vt:lpwstr>
  </property>
</Properties>
</file>